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9AFB" w14:textId="458C73BD" w:rsidR="00813906" w:rsidRPr="00813906" w:rsidRDefault="00813906" w:rsidP="0056203A">
      <w:pPr>
        <w:numPr>
          <w:ilvl w:val="0"/>
          <w:numId w:val="0"/>
        </w:numPr>
        <w:rPr>
          <w:b/>
        </w:rPr>
      </w:pPr>
      <w:r>
        <w:rPr>
          <w:b/>
        </w:rPr>
        <w:t>Positivity in the Workplace</w:t>
      </w:r>
      <w:bookmarkStart w:id="0" w:name="_GoBack"/>
      <w:bookmarkEnd w:id="0"/>
    </w:p>
    <w:p w14:paraId="0437F53D" w14:textId="77777777" w:rsidR="00AD3471" w:rsidRDefault="0056203A" w:rsidP="0056203A">
      <w:pPr>
        <w:numPr>
          <w:ilvl w:val="0"/>
          <w:numId w:val="0"/>
        </w:numPr>
      </w:pPr>
      <w:r>
        <w:t xml:space="preserve">Today’s companies recognize the value positive employees bring to their organization. Increased motivation, innovation, productivity, and sales are just a few of the benefits that ultimately impact the bottom line.  In fact, Gallup estimates that </w:t>
      </w:r>
      <w:r w:rsidRPr="0056203A">
        <w:rPr>
          <w:i/>
        </w:rPr>
        <w:t>negativity</w:t>
      </w:r>
      <w:r>
        <w:t xml:space="preserve"> costs U.S. companies $500 Billion every year.  The question becomes, what can be done to increase positivity in your workplace?</w:t>
      </w:r>
    </w:p>
    <w:p w14:paraId="71C7E898" w14:textId="77777777" w:rsidR="0056203A" w:rsidRDefault="0056203A" w:rsidP="0056203A">
      <w:pPr>
        <w:numPr>
          <w:ilvl w:val="0"/>
          <w:numId w:val="0"/>
        </w:numPr>
      </w:pPr>
    </w:p>
    <w:p w14:paraId="1D32FB58" w14:textId="77777777" w:rsidR="0056203A" w:rsidRDefault="0056203A" w:rsidP="0056203A">
      <w:pPr>
        <w:numPr>
          <w:ilvl w:val="0"/>
          <w:numId w:val="0"/>
        </w:numPr>
      </w:pPr>
      <w:r>
        <w:t xml:space="preserve">At the 2017 WMBA Real Estate Finance Conference, Tina Hallis, Ph.D. </w:t>
      </w:r>
      <w:r w:rsidR="00F46E26">
        <w:t xml:space="preserve">founder of The Positive Edge, </w:t>
      </w:r>
      <w:r>
        <w:t>presented a session entitled, “Positivity in the Workplace – The Benefits and How to Get More.”  During her program, Tina highlighted two main factors that influence a person’s positivity at work</w:t>
      </w:r>
      <w:proofErr w:type="gramStart"/>
      <w:r>
        <w:t>;</w:t>
      </w:r>
      <w:proofErr w:type="gramEnd"/>
      <w:r>
        <w:t xml:space="preserve"> 1) the work situation and 2) the individual’s perspective.   </w:t>
      </w:r>
    </w:p>
    <w:p w14:paraId="47E116A4" w14:textId="77777777" w:rsidR="0056203A" w:rsidRDefault="0056203A" w:rsidP="0056203A">
      <w:pPr>
        <w:numPr>
          <w:ilvl w:val="0"/>
          <w:numId w:val="0"/>
        </w:numPr>
      </w:pPr>
    </w:p>
    <w:p w14:paraId="212E69D9" w14:textId="0E64D061" w:rsidR="0056203A" w:rsidRDefault="0056203A" w:rsidP="0056203A">
      <w:pPr>
        <w:numPr>
          <w:ilvl w:val="0"/>
          <w:numId w:val="0"/>
        </w:numPr>
      </w:pPr>
      <w:r>
        <w:t xml:space="preserve">Tina shared that </w:t>
      </w:r>
      <w:r w:rsidR="000151A2">
        <w:t xml:space="preserve">the work situation can affect how easy it is for an employee to maintain a positive attitude.  She noted that </w:t>
      </w:r>
      <w:r>
        <w:t xml:space="preserve">various studies have identified a number of </w:t>
      </w:r>
      <w:r w:rsidR="000151A2">
        <w:t xml:space="preserve">items that have an impact with the 5 major categories being, 1) autonomy, 2) purpose, 3) belonging, 4) mastery, and 5) </w:t>
      </w:r>
      <w:r w:rsidR="001B4472">
        <w:t xml:space="preserve">the </w:t>
      </w:r>
      <w:r w:rsidR="000151A2">
        <w:t>environment</w:t>
      </w:r>
      <w:r w:rsidR="001B4472">
        <w:t xml:space="preserve"> (physical and psychological)</w:t>
      </w:r>
      <w:r w:rsidR="000151A2">
        <w:t xml:space="preserve">.  </w:t>
      </w:r>
    </w:p>
    <w:p w14:paraId="0C9F5C43" w14:textId="77777777" w:rsidR="000151A2" w:rsidRDefault="000151A2" w:rsidP="0056203A">
      <w:pPr>
        <w:numPr>
          <w:ilvl w:val="0"/>
          <w:numId w:val="0"/>
        </w:numPr>
      </w:pPr>
    </w:p>
    <w:p w14:paraId="64CACB55" w14:textId="000405CD" w:rsidR="001B4472" w:rsidRDefault="00F46E26" w:rsidP="0056203A">
      <w:pPr>
        <w:numPr>
          <w:ilvl w:val="0"/>
          <w:numId w:val="0"/>
        </w:numPr>
      </w:pPr>
      <w:r>
        <w:t xml:space="preserve">When it comes to the individual taking responsibility for their positive </w:t>
      </w:r>
      <w:r w:rsidR="00530954">
        <w:t>perspective</w:t>
      </w:r>
      <w:r>
        <w:t xml:space="preserve">, Tina highlighted that this is learnable.  She discussed recent findings from the field of Positive Psychology demonstrating </w:t>
      </w:r>
      <w:r w:rsidR="001B4472">
        <w:t>the</w:t>
      </w:r>
      <w:r>
        <w:t xml:space="preserve"> ability </w:t>
      </w:r>
      <w:r w:rsidR="001B4472">
        <w:t xml:space="preserve">of people </w:t>
      </w:r>
      <w:r>
        <w:t xml:space="preserve">to improve </w:t>
      </w:r>
      <w:r w:rsidR="001B4472">
        <w:t>their</w:t>
      </w:r>
      <w:r>
        <w:t xml:space="preserve"> overall positivity. A key take-away was that </w:t>
      </w:r>
      <w:r w:rsidR="009C52A8">
        <w:t xml:space="preserve">we </w:t>
      </w:r>
      <w:r w:rsidR="009C52A8" w:rsidRPr="009C52A8">
        <w:rPr>
          <w:i/>
        </w:rPr>
        <w:t>can</w:t>
      </w:r>
      <w:r>
        <w:t xml:space="preserve"> </w:t>
      </w:r>
      <w:r w:rsidR="009C52A8">
        <w:t>shift</w:t>
      </w:r>
      <w:r>
        <w:t xml:space="preserve"> our thinking and </w:t>
      </w:r>
      <w:r w:rsidR="001B4472">
        <w:t>certain practices</w:t>
      </w:r>
      <w:r>
        <w:t xml:space="preserve"> </w:t>
      </w:r>
      <w:r w:rsidR="009C52A8">
        <w:t>can</w:t>
      </w:r>
      <w:r>
        <w:t xml:space="preserve"> make it easier</w:t>
      </w:r>
      <w:r w:rsidR="001B4472">
        <w:t>.</w:t>
      </w:r>
    </w:p>
    <w:p w14:paraId="11DB6DFB" w14:textId="77777777" w:rsidR="001B4472" w:rsidRDefault="001B4472" w:rsidP="0056203A">
      <w:pPr>
        <w:numPr>
          <w:ilvl w:val="0"/>
          <w:numId w:val="0"/>
        </w:numPr>
      </w:pPr>
    </w:p>
    <w:p w14:paraId="1757A8D4" w14:textId="77777777" w:rsidR="00530954" w:rsidRDefault="001B4472" w:rsidP="00530954">
      <w:pPr>
        <w:numPr>
          <w:ilvl w:val="0"/>
          <w:numId w:val="0"/>
        </w:numPr>
        <w:rPr>
          <w:bCs/>
          <w:iCs/>
        </w:rPr>
      </w:pPr>
      <w:r>
        <w:t xml:space="preserve">For more information on creating a positive work situation, see </w:t>
      </w:r>
      <w:r w:rsidR="00530954">
        <w:t>the article, “</w:t>
      </w:r>
      <w:hyperlink r:id="rId6" w:history="1">
        <w:r w:rsidR="00530954" w:rsidRPr="00530954">
          <w:rPr>
            <w:rStyle w:val="Hyperlink"/>
          </w:rPr>
          <w:t xml:space="preserve">Kick-start Your Positive Performance Culture.” </w:t>
        </w:r>
      </w:hyperlink>
      <w:r w:rsidR="00530954">
        <w:t xml:space="preserve"> For more on the individual’s perspective, check out “</w:t>
      </w:r>
      <w:hyperlink r:id="rId7" w:history="1">
        <w:r w:rsidR="00530954" w:rsidRPr="00530954">
          <w:rPr>
            <w:rStyle w:val="Hyperlink"/>
          </w:rPr>
          <w:t>7 Tips for Shifting Your Thoughts for More Positivity &amp; Why It Matters.</w:t>
        </w:r>
      </w:hyperlink>
      <w:r w:rsidR="00530954">
        <w:rPr>
          <w:bCs/>
          <w:iCs/>
        </w:rPr>
        <w:t>”</w:t>
      </w:r>
    </w:p>
    <w:p w14:paraId="7B3F21E9" w14:textId="77777777" w:rsidR="00530954" w:rsidRDefault="00530954" w:rsidP="00530954">
      <w:pPr>
        <w:numPr>
          <w:ilvl w:val="0"/>
          <w:numId w:val="0"/>
        </w:numPr>
        <w:rPr>
          <w:bCs/>
          <w:iCs/>
        </w:rPr>
      </w:pPr>
    </w:p>
    <w:p w14:paraId="56D442D5" w14:textId="18F49D31" w:rsidR="00530954" w:rsidRPr="00530954" w:rsidRDefault="00530954" w:rsidP="00530954">
      <w:pPr>
        <w:numPr>
          <w:ilvl w:val="0"/>
          <w:numId w:val="0"/>
        </w:numPr>
      </w:pPr>
      <w:r w:rsidRPr="00530954">
        <w:rPr>
          <w:bCs/>
          <w:iCs/>
        </w:rPr>
        <w:t xml:space="preserve"> </w:t>
      </w:r>
    </w:p>
    <w:p w14:paraId="6BC44015" w14:textId="65888FFA" w:rsidR="00530954" w:rsidRPr="00530954" w:rsidRDefault="00F46E26" w:rsidP="00530954">
      <w:pPr>
        <w:pStyle w:val="NormalWeb"/>
        <w:numPr>
          <w:ilvl w:val="0"/>
          <w:numId w:val="0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>
        <w:t xml:space="preserve"> </w:t>
      </w:r>
      <w:r w:rsidR="00530954" w:rsidRPr="00530954">
        <w:rPr>
          <w:rFonts w:ascii="Cambria" w:hAnsi="Cambria"/>
          <w:i/>
          <w:iCs/>
          <w:sz w:val="22"/>
          <w:szCs w:val="22"/>
        </w:rPr>
        <w:t>Tina Hallis, Ph.D., is</w:t>
      </w:r>
      <w:r w:rsidR="00530954">
        <w:rPr>
          <w:rFonts w:ascii="Cambria" w:hAnsi="Cambria"/>
          <w:i/>
          <w:iCs/>
          <w:sz w:val="22"/>
          <w:szCs w:val="22"/>
        </w:rPr>
        <w:t xml:space="preserve"> the</w:t>
      </w:r>
      <w:r w:rsidR="00530954" w:rsidRPr="00530954">
        <w:rPr>
          <w:rFonts w:ascii="Cambria" w:hAnsi="Cambria"/>
          <w:i/>
          <w:iCs/>
          <w:sz w:val="22"/>
          <w:szCs w:val="22"/>
        </w:rPr>
        <w:t xml:space="preserve"> founder and owner of The Positive Edge, a company dedicated to helping individuals and organizations increase their positivity to improve the quality of people’s work lives and the quality of company cultures. </w:t>
      </w:r>
    </w:p>
    <w:p w14:paraId="58A3332E" w14:textId="0C3A2C06" w:rsidR="000151A2" w:rsidRDefault="000151A2" w:rsidP="0056203A">
      <w:pPr>
        <w:numPr>
          <w:ilvl w:val="0"/>
          <w:numId w:val="0"/>
        </w:numPr>
      </w:pPr>
    </w:p>
    <w:sectPr w:rsidR="000151A2" w:rsidSect="0029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1AA12C"/>
    <w:lvl w:ilvl="0">
      <w:numFmt w:val="bullet"/>
      <w:pStyle w:val="Normal"/>
      <w:lvlText w:val="☐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☐"/>
      <w:lvlJc w:val="left"/>
      <w:pPr>
        <w:ind w:left="-72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☐"/>
      <w:lvlJc w:val="left"/>
      <w:pPr>
        <w:ind w:left="-72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☐"/>
      <w:lvlJc w:val="left"/>
      <w:pPr>
        <w:ind w:left="-72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☐"/>
      <w:lvlJc w:val="left"/>
      <w:pPr>
        <w:ind w:left="-72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☐"/>
      <w:lvlJc w:val="left"/>
      <w:pPr>
        <w:ind w:left="-72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☐"/>
      <w:lvlJc w:val="left"/>
      <w:pPr>
        <w:ind w:left="-72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☐"/>
      <w:lvlJc w:val="left"/>
      <w:pPr>
        <w:ind w:left="-72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☐"/>
      <w:lvlJc w:val="left"/>
      <w:pPr>
        <w:ind w:left="-72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3B5E4A1F"/>
    <w:multiLevelType w:val="multilevel"/>
    <w:tmpl w:val="0409001D"/>
    <w:styleLink w:val="BookHeading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i w:val="0"/>
        <w:iCs w:val="0"/>
        <w:color w:val="4F81BD" w:themeColor="accent1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2DA1240"/>
    <w:multiLevelType w:val="hybridMultilevel"/>
    <w:tmpl w:val="B942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052AB5"/>
    <w:multiLevelType w:val="multilevel"/>
    <w:tmpl w:val="2336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3A"/>
    <w:rsid w:val="000151A2"/>
    <w:rsid w:val="001B4472"/>
    <w:rsid w:val="00297659"/>
    <w:rsid w:val="00530954"/>
    <w:rsid w:val="0056203A"/>
    <w:rsid w:val="0069353A"/>
    <w:rsid w:val="00813906"/>
    <w:rsid w:val="008D3F7A"/>
    <w:rsid w:val="009C52A8"/>
    <w:rsid w:val="00AD3471"/>
    <w:rsid w:val="00F10058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06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1"/>
      </w:numPr>
    </w:pPr>
  </w:style>
  <w:style w:type="paragraph" w:styleId="Heading1">
    <w:name w:val="heading 1"/>
    <w:basedOn w:val="Normal"/>
    <w:next w:val="Normal"/>
    <w:link w:val="Heading1Char"/>
    <w:qFormat/>
    <w:rsid w:val="0069353A"/>
    <w:pPr>
      <w:keepNext/>
      <w:widowControl w:val="0"/>
      <w:tabs>
        <w:tab w:val="left" w:pos="220"/>
      </w:tabs>
      <w:autoSpaceDE w:val="0"/>
      <w:autoSpaceDN w:val="0"/>
      <w:adjustRightInd w:val="0"/>
      <w:spacing w:before="240" w:after="60"/>
      <w:ind w:hanging="720"/>
      <w:outlineLvl w:val="0"/>
    </w:pPr>
    <w:rPr>
      <w:rFonts w:ascii="Times" w:eastAsia="ＭＳ ゴシック" w:hAnsi="Times"/>
      <w:b/>
      <w:color w:val="000000"/>
      <w:kern w:val="32"/>
      <w:sz w:val="4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353A"/>
    <w:rPr>
      <w:rFonts w:ascii="Times" w:eastAsia="ＭＳ ゴシック" w:hAnsi="Times"/>
      <w:b/>
      <w:color w:val="000000"/>
      <w:kern w:val="32"/>
      <w:sz w:val="48"/>
      <w:szCs w:val="32"/>
    </w:rPr>
  </w:style>
  <w:style w:type="numbering" w:customStyle="1" w:styleId="BookHeading2">
    <w:name w:val="Book Heading 2"/>
    <w:uiPriority w:val="99"/>
    <w:rsid w:val="008D3F7A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53095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1"/>
      </w:numPr>
    </w:pPr>
  </w:style>
  <w:style w:type="paragraph" w:styleId="Heading1">
    <w:name w:val="heading 1"/>
    <w:basedOn w:val="Normal"/>
    <w:next w:val="Normal"/>
    <w:link w:val="Heading1Char"/>
    <w:qFormat/>
    <w:rsid w:val="0069353A"/>
    <w:pPr>
      <w:keepNext/>
      <w:widowControl w:val="0"/>
      <w:tabs>
        <w:tab w:val="left" w:pos="220"/>
      </w:tabs>
      <w:autoSpaceDE w:val="0"/>
      <w:autoSpaceDN w:val="0"/>
      <w:adjustRightInd w:val="0"/>
      <w:spacing w:before="240" w:after="60"/>
      <w:ind w:hanging="720"/>
      <w:outlineLvl w:val="0"/>
    </w:pPr>
    <w:rPr>
      <w:rFonts w:ascii="Times" w:eastAsia="ＭＳ ゴシック" w:hAnsi="Times"/>
      <w:b/>
      <w:color w:val="000000"/>
      <w:kern w:val="32"/>
      <w:sz w:val="4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9353A"/>
    <w:rPr>
      <w:rFonts w:ascii="Times" w:eastAsia="ＭＳ ゴシック" w:hAnsi="Times"/>
      <w:b/>
      <w:color w:val="000000"/>
      <w:kern w:val="32"/>
      <w:sz w:val="48"/>
      <w:szCs w:val="32"/>
    </w:rPr>
  </w:style>
  <w:style w:type="numbering" w:customStyle="1" w:styleId="BookHeading2">
    <w:name w:val="Book Heading 2"/>
    <w:uiPriority w:val="99"/>
    <w:rsid w:val="008D3F7A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53095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positiveedge.org/wp-content/uploads/2017/04/Positive-Peformance-Culture-April-2017.pdf" TargetMode="External"/><Relationship Id="rId7" Type="http://schemas.openxmlformats.org/officeDocument/2006/relationships/hyperlink" Target="http://www.thepositiveedge.org/wp-content/uploads/2014/12/7-Tips-for-Shifting-Your-Thoughts-for-More-Positivit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Hallis</dc:creator>
  <cp:keywords/>
  <dc:description/>
  <cp:lastModifiedBy>Tina Hallis</cp:lastModifiedBy>
  <cp:revision>3</cp:revision>
  <dcterms:created xsi:type="dcterms:W3CDTF">2017-04-18T01:49:00Z</dcterms:created>
  <dcterms:modified xsi:type="dcterms:W3CDTF">2017-04-18T01:50:00Z</dcterms:modified>
</cp:coreProperties>
</file>